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5A" w:rsidRPr="0072632C" w:rsidRDefault="00A92382">
      <w:pPr>
        <w:rPr>
          <w:b/>
        </w:rPr>
      </w:pPr>
      <w:bookmarkStart w:id="0" w:name="_GoBack"/>
      <w:bookmarkEnd w:id="0"/>
      <w:r w:rsidRPr="0072632C">
        <w:rPr>
          <w:b/>
        </w:rPr>
        <w:t>ЈОВАН СТЕРИЈА ПОПОВИЋ-ТВРДИЦА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9949"/>
      </w:tblGrid>
      <w:tr w:rsidR="0060445A" w:rsidTr="0072632C">
        <w:trPr>
          <w:trHeight w:val="80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A" w:rsidRPr="0060445A" w:rsidRDefault="006044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0445A" w:rsidRDefault="0060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A" w:rsidRPr="0060445A" w:rsidRDefault="0060445A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445A" w:rsidRDefault="0060445A" w:rsidP="00D34D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Рођен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1806.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утицаја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развијање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драмама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Завршио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гимназију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начелник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Крагујевцу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Друштво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српске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Српска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залагањем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музеј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1856.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445A" w:rsidRDefault="0060445A" w:rsidP="00D34D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прожимају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сентиментализам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класицизам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предромантизам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Најизразитији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српског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класицизма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Мушицког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родоначелником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српске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романописац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трагичар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комедиограф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језичких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историјских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Обреновића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1840.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укључен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језик,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заузимао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негативан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Караџићу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славјанства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најобразованијим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Србином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XIX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445A" w:rsidRDefault="0060445A" w:rsidP="00D34D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најважнији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делокруг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жалосна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позорја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националне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поезије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књижевноисторијску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уметничку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вредност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одлучио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пређе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комедиографски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исправљеније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дејствује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мненију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поправити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будалаштинама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смејати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.”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студијама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упознао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стваралаштво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Молијера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утицаја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комедиографско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стваралаштво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45A" w:rsidRDefault="0060445A" w:rsidP="00D34D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стваралачки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покретали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љубав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поучава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савременике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непосредна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заплети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засновани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актуелностима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45A" w:rsidRDefault="0060445A" w:rsidP="00D34D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0445A" w:rsidRDefault="0060445A" w:rsidP="00D34DC2">
            <w:pPr>
              <w:numPr>
                <w:ilvl w:val="0"/>
                <w:numId w:val="2"/>
              </w:numPr>
              <w:spacing w:after="0" w:line="240" w:lineRule="auto"/>
              <w:ind w:left="12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трагедије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Светислав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Обилић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Смрт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Стефана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Дечанског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...;</w:t>
            </w:r>
          </w:p>
          <w:p w:rsidR="0060445A" w:rsidRDefault="0060445A" w:rsidP="00D34DC2">
            <w:pPr>
              <w:numPr>
                <w:ilvl w:val="0"/>
                <w:numId w:val="2"/>
              </w:numPr>
              <w:spacing w:after="0" w:line="240" w:lineRule="auto"/>
              <w:ind w:left="12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Бој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Косову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романа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сатирични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сентименталном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ромасијерству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0445A" w:rsidRDefault="0060445A" w:rsidP="00D34DC2">
            <w:pPr>
              <w:numPr>
                <w:ilvl w:val="0"/>
                <w:numId w:val="2"/>
              </w:numPr>
              <w:spacing w:after="0" w:line="240" w:lineRule="auto"/>
              <w:ind w:left="12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збирка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Даворије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0445A" w:rsidRDefault="0060445A" w:rsidP="00D34DC2">
            <w:pPr>
              <w:numPr>
                <w:ilvl w:val="0"/>
                <w:numId w:val="2"/>
              </w:numPr>
              <w:spacing w:after="0" w:line="240" w:lineRule="auto"/>
              <w:ind w:left="12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комедије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Покондирена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тиква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Лажа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паралажа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Тврдица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Родољупци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Зла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жена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некад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0445A" w:rsidRPr="00AB4276" w:rsidRDefault="0060445A" w:rsidP="00D34DC2">
            <w:pPr>
              <w:numPr>
                <w:ilvl w:val="0"/>
                <w:numId w:val="3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Његова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комедија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је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непосредно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друштвено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ангажована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изобличава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помодарство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снобизам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чак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када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бави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универзалним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темама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Стерија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ове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мане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посматра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локалне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перспективе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лик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Кир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>Јање</w:t>
            </w:r>
            <w:proofErr w:type="spellEnd"/>
            <w:r w:rsidRPr="00AB4276">
              <w:rPr>
                <w:rFonts w:ascii="Times New Roman" w:hAnsi="Times New Roman"/>
                <w:b/>
                <w:sz w:val="24"/>
                <w:szCs w:val="24"/>
              </w:rPr>
              <w:t xml:space="preserve">). </w:t>
            </w:r>
          </w:p>
          <w:p w:rsidR="0060445A" w:rsidRDefault="00604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5A" w:rsidRDefault="00A73823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60445A">
              <w:rPr>
                <w:rFonts w:ascii="Times New Roman" w:hAnsi="Times New Roman"/>
                <w:sz w:val="24"/>
                <w:szCs w:val="24"/>
              </w:rPr>
              <w:t>нализи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60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445A">
              <w:rPr>
                <w:rFonts w:ascii="Times New Roman" w:hAnsi="Times New Roman"/>
                <w:sz w:val="24"/>
                <w:szCs w:val="24"/>
              </w:rPr>
              <w:t>композиције</w:t>
            </w:r>
            <w:proofErr w:type="spellEnd"/>
            <w:r w:rsidR="0060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445A">
              <w:rPr>
                <w:rFonts w:ascii="Times New Roman" w:hAnsi="Times New Roman"/>
                <w:i/>
                <w:sz w:val="24"/>
                <w:szCs w:val="24"/>
              </w:rPr>
              <w:t>Тврдице</w:t>
            </w:r>
            <w:proofErr w:type="spellEnd"/>
            <w:r w:rsidR="0060445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60445A" w:rsidRDefault="0060445A" w:rsidP="00A73823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5A" w:rsidRDefault="0060445A" w:rsidP="00D34D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Тврдица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објављена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1837.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комедија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карактера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Инспирацију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Аулуларија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Златни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ћуп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Еуклион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Молијера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Тврдица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Харпагон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Држићевој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Скуп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445A" w:rsidRDefault="0060445A" w:rsidP="00D34D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Предисловију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Тврдицу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Стерија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445A" w:rsidRPr="00A165A8" w:rsidRDefault="00604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5A" w:rsidRDefault="0060445A" w:rsidP="00D34D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тврдичења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споредних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Јуцино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каћиперство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несрећна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Катичина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чежња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самосталним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патријархална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искрено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сиромаштво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тлачење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сиромашних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препреденост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Мишићева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грађански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дугачији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60445A" w:rsidRDefault="0060445A" w:rsidP="00D34D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Композиција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0445A" w:rsidRDefault="0060445A" w:rsidP="00D34DC2">
            <w:pPr>
              <w:numPr>
                <w:ilvl w:val="0"/>
                <w:numId w:val="7"/>
              </w:numPr>
              <w:spacing w:after="0" w:line="240" w:lineRule="auto"/>
              <w:ind w:left="10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хаљина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расипништву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савремених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остварена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Јањиног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цицијашења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потврђује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1.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чину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Јањиним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коментарима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Јуциним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сопственом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судбином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обећавао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куповину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шешира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одбија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Јањиног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зеленаштва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изведена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позајмицу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изузетно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Следећа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драмска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дукатима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изузетног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Јањиног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себичност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доброчинство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изражаја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болницу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Безосећајност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равнодушност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жељама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сопственог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изражаја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обећава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Катицу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завршава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вешћу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срушила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потврда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шкртости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445A" w:rsidRDefault="0060445A" w:rsidP="00D34DC2">
            <w:pPr>
              <w:numPr>
                <w:ilvl w:val="0"/>
                <w:numId w:val="7"/>
              </w:numPr>
              <w:spacing w:after="0" w:line="240" w:lineRule="auto"/>
              <w:ind w:left="10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започиње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разговором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тврдичлуку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и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држању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осликава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девојке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јадикује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рушења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страдале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њихову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искористио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бескрајној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штедљивости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сведочи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печатираних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претопио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користио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завршава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избезумљеном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појавом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преварили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дукате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45A" w:rsidRDefault="0060445A" w:rsidP="00D34DC2">
            <w:pPr>
              <w:numPr>
                <w:ilvl w:val="0"/>
                <w:numId w:val="7"/>
              </w:numPr>
              <w:spacing w:after="0" w:line="240" w:lineRule="auto"/>
              <w:ind w:left="10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невољама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покварио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кукуруз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украдена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облигација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форинти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исцурило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помишља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самоубиство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опрашта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дукатима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отпушта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заљубљен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Катицу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лажног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уцењује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обећава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открива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извршено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сведоцима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обећано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Потпуни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потврђује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разумети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пропадање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445A" w:rsidTr="0072632C">
        <w:trPr>
          <w:trHeight w:val="16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A" w:rsidRPr="0060445A" w:rsidRDefault="006044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0445A" w:rsidRDefault="0060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A" w:rsidRPr="00A165A8" w:rsidRDefault="00A16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Oсобинe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Јањиног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0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>Издваја</w:t>
            </w:r>
            <w:proofErr w:type="spellEnd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proofErr w:type="spellEnd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>мотив</w:t>
            </w:r>
            <w:proofErr w:type="spellEnd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>трврдичлука</w:t>
            </w:r>
            <w:proofErr w:type="spellEnd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>као</w:t>
            </w:r>
            <w:proofErr w:type="spellEnd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>основни</w:t>
            </w:r>
            <w:proofErr w:type="spellEnd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>мотив</w:t>
            </w:r>
            <w:proofErr w:type="spellEnd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>Даје</w:t>
            </w:r>
            <w:proofErr w:type="spellEnd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proofErr w:type="spellEnd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>критички</w:t>
            </w:r>
            <w:proofErr w:type="spellEnd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>осврт</w:t>
            </w:r>
            <w:proofErr w:type="spellEnd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="0060445A" w:rsidRPr="00A165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5A8">
              <w:rPr>
                <w:rFonts w:ascii="Times New Roman" w:hAnsi="Times New Roman"/>
                <w:b/>
                <w:sz w:val="24"/>
                <w:szCs w:val="24"/>
              </w:rPr>
              <w:t>Јањине</w:t>
            </w:r>
            <w:proofErr w:type="spellEnd"/>
            <w:r w:rsidRPr="00A165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5A8">
              <w:rPr>
                <w:rFonts w:ascii="Times New Roman" w:hAnsi="Times New Roman"/>
                <w:b/>
                <w:sz w:val="24"/>
                <w:szCs w:val="24"/>
              </w:rPr>
              <w:t>поступке</w:t>
            </w:r>
            <w:proofErr w:type="spellEnd"/>
            <w:r w:rsidRPr="00A165A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60445A" w:rsidRDefault="006044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445A" w:rsidRDefault="0060445A" w:rsidP="0060445A">
      <w:pPr>
        <w:rPr>
          <w:rFonts w:ascii="Times New Roman" w:eastAsia="Times New Roman" w:hAnsi="Times New Roman"/>
          <w:sz w:val="24"/>
          <w:szCs w:val="24"/>
        </w:rPr>
      </w:pPr>
    </w:p>
    <w:p w:rsidR="0060445A" w:rsidRDefault="0060445A" w:rsidP="0060445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0445A" w:rsidRDefault="0060445A" w:rsidP="0060445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0445A" w:rsidRPr="00A165A8" w:rsidRDefault="00A165A8" w:rsidP="0060445A">
      <w:pPr>
        <w:rPr>
          <w:rFonts w:ascii="Times New Roman" w:hAnsi="Times New Roman"/>
          <w:b/>
          <w:sz w:val="24"/>
          <w:szCs w:val="24"/>
        </w:rPr>
      </w:pPr>
      <w:r w:rsidRPr="00A165A8">
        <w:rPr>
          <w:rFonts w:ascii="Times New Roman" w:hAnsi="Times New Roman"/>
          <w:b/>
          <w:sz w:val="24"/>
          <w:szCs w:val="24"/>
        </w:rPr>
        <w:lastRenderedPageBreak/>
        <w:t>ПРЕПИСАТИ У СВЕСКЕ</w:t>
      </w:r>
    </w:p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60445A" w:rsidTr="0060445A">
        <w:trPr>
          <w:trHeight w:val="1002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A" w:rsidRDefault="0060445A">
            <w:pPr>
              <w:spacing w:after="0"/>
              <w:ind w:left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60445A" w:rsidRDefault="006044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Тврдица</w:t>
            </w:r>
            <w:proofErr w:type="spellEnd"/>
          </w:p>
          <w:p w:rsidR="0060445A" w:rsidRDefault="0060445A">
            <w:pPr>
              <w:spacing w:after="0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(1806‒1856)</w:t>
            </w:r>
          </w:p>
          <w:p w:rsidR="0060445A" w:rsidRDefault="0060445A">
            <w:pPr>
              <w:spacing w:after="0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445A" w:rsidRDefault="0060445A">
            <w:pPr>
              <w:spacing w:after="0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књижевна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епоха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0445A" w:rsidRDefault="0060445A" w:rsidP="00D34DC2">
            <w:pPr>
              <w:numPr>
                <w:ilvl w:val="0"/>
                <w:numId w:val="4"/>
              </w:numPr>
              <w:spacing w:after="0"/>
              <w:ind w:left="15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класицизам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‒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XVII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Француска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Корнеј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Молијер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45A" w:rsidRDefault="0060445A">
            <w:pPr>
              <w:spacing w:after="0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комедија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</w:t>
            </w:r>
            <w:proofErr w:type="spellEnd"/>
          </w:p>
          <w:p w:rsidR="0060445A" w:rsidRDefault="0060445A" w:rsidP="00D34DC2">
            <w:pPr>
              <w:numPr>
                <w:ilvl w:val="0"/>
                <w:numId w:val="8"/>
              </w:numPr>
              <w:spacing w:after="0"/>
              <w:ind w:left="15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445A" w:rsidRDefault="0060445A" w:rsidP="00D34DC2">
            <w:pPr>
              <w:numPr>
                <w:ilvl w:val="0"/>
                <w:numId w:val="8"/>
              </w:numPr>
              <w:spacing w:after="0"/>
              <w:ind w:left="15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водвиљ</w:t>
            </w:r>
            <w:proofErr w:type="spellEnd"/>
          </w:p>
          <w:p w:rsidR="0060445A" w:rsidRDefault="006044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ПИСЦУ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0445A" w:rsidRDefault="0060445A" w:rsidP="00D34DC2">
            <w:pPr>
              <w:numPr>
                <w:ilvl w:val="0"/>
                <w:numId w:val="9"/>
              </w:numPr>
              <w:spacing w:after="0"/>
              <w:ind w:left="15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драмски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романописац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језичких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историјских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расправа</w:t>
            </w:r>
            <w:proofErr w:type="spellEnd"/>
          </w:p>
          <w:p w:rsidR="0060445A" w:rsidRDefault="0060445A" w:rsidP="00D34DC2">
            <w:pPr>
              <w:numPr>
                <w:ilvl w:val="0"/>
                <w:numId w:val="9"/>
              </w:numPr>
              <w:spacing w:after="0"/>
              <w:ind w:left="15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”,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Даворије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”,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Покондирена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”,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Родољупци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”, 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60445A" w:rsidRDefault="0060445A">
            <w:pPr>
              <w:spacing w:after="0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0445A" w:rsidRDefault="0060445A">
            <w:pPr>
              <w:spacing w:after="0"/>
              <w:ind w:left="15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књижевна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карактера</w:t>
            </w:r>
            <w:proofErr w:type="spellEnd"/>
          </w:p>
          <w:p w:rsidR="0060445A" w:rsidRDefault="006044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композиција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чина</w:t>
            </w:r>
            <w:proofErr w:type="spellEnd"/>
          </w:p>
          <w:p w:rsidR="0060445A" w:rsidRDefault="0060445A" w:rsidP="00D34DC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цицијашење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дукатима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обећање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рушење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штале</w:t>
            </w:r>
            <w:proofErr w:type="spellEnd"/>
          </w:p>
          <w:p w:rsidR="0060445A" w:rsidRDefault="0060445A" w:rsidP="00D34DC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карактеризација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претерана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штедљивост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преварен</w:t>
            </w:r>
            <w:proofErr w:type="spellEnd"/>
          </w:p>
          <w:p w:rsidR="0060445A" w:rsidRDefault="0060445A" w:rsidP="00D34DC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помишљање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самоубиство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Мишићева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пораз</w:t>
            </w:r>
            <w:proofErr w:type="spellEnd"/>
          </w:p>
          <w:p w:rsidR="0060445A" w:rsidRDefault="006044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6E3A" w:rsidRDefault="008A6E3A"/>
    <w:p w:rsidR="0060445A" w:rsidRDefault="0060445A"/>
    <w:p w:rsidR="0060445A" w:rsidRPr="00A92382" w:rsidRDefault="0060445A"/>
    <w:sectPr w:rsidR="0060445A" w:rsidRPr="00A92382" w:rsidSect="008A6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91" w:rsidRDefault="00E31191" w:rsidP="001B3887">
      <w:pPr>
        <w:spacing w:after="0" w:line="240" w:lineRule="auto"/>
      </w:pPr>
      <w:r>
        <w:separator/>
      </w:r>
    </w:p>
  </w:endnote>
  <w:endnote w:type="continuationSeparator" w:id="0">
    <w:p w:rsidR="00E31191" w:rsidRDefault="00E31191" w:rsidP="001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87" w:rsidRDefault="001B3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87" w:rsidRDefault="001B3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87" w:rsidRDefault="001B3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91" w:rsidRDefault="00E31191" w:rsidP="001B3887">
      <w:pPr>
        <w:spacing w:after="0" w:line="240" w:lineRule="auto"/>
      </w:pPr>
      <w:r>
        <w:separator/>
      </w:r>
    </w:p>
  </w:footnote>
  <w:footnote w:type="continuationSeparator" w:id="0">
    <w:p w:rsidR="00E31191" w:rsidRDefault="00E31191" w:rsidP="001B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87" w:rsidRDefault="001B3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2433"/>
      <w:docPartObj>
        <w:docPartGallery w:val="Page Numbers (Top of Page)"/>
        <w:docPartUnique/>
      </w:docPartObj>
    </w:sdtPr>
    <w:sdtEndPr/>
    <w:sdtContent>
      <w:p w:rsidR="001B3887" w:rsidRDefault="00E3119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8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887" w:rsidRDefault="001B3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87" w:rsidRDefault="001B3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abstractNum w:abstractNumId="0">
    <w:nsid w:val="03CA0845"/>
    <w:multiLevelType w:val="hybridMultilevel"/>
    <w:tmpl w:val="7098DF7E"/>
    <w:lvl w:ilvl="0" w:tplc="241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944C8"/>
    <w:multiLevelType w:val="hybridMultilevel"/>
    <w:tmpl w:val="BED47542"/>
    <w:lvl w:ilvl="0" w:tplc="241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71E79"/>
    <w:multiLevelType w:val="hybridMultilevel"/>
    <w:tmpl w:val="A1E66A92"/>
    <w:lvl w:ilvl="0" w:tplc="241A0007">
      <w:start w:val="1"/>
      <w:numFmt w:val="bullet"/>
      <w:lvlText w:val=""/>
      <w:lvlPicBulletId w:val="0"/>
      <w:lvlJc w:val="left"/>
      <w:pPr>
        <w:ind w:left="1089" w:hanging="360"/>
      </w:pPr>
      <w:rPr>
        <w:rFonts w:ascii="Symbol" w:hAnsi="Symbol" w:hint="default"/>
        <w:sz w:val="20"/>
        <w:szCs w:val="20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06351"/>
    <w:multiLevelType w:val="hybridMultilevel"/>
    <w:tmpl w:val="CB507310"/>
    <w:lvl w:ilvl="0" w:tplc="241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C5A50"/>
    <w:multiLevelType w:val="hybridMultilevel"/>
    <w:tmpl w:val="098ECF72"/>
    <w:lvl w:ilvl="0" w:tplc="241A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86DE7"/>
    <w:multiLevelType w:val="hybridMultilevel"/>
    <w:tmpl w:val="6D42F9B8"/>
    <w:lvl w:ilvl="0" w:tplc="241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14FDB"/>
    <w:multiLevelType w:val="hybridMultilevel"/>
    <w:tmpl w:val="BC266E88"/>
    <w:lvl w:ilvl="0" w:tplc="241A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20D55"/>
    <w:multiLevelType w:val="hybridMultilevel"/>
    <w:tmpl w:val="9992F25A"/>
    <w:lvl w:ilvl="0" w:tplc="E5825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61825"/>
    <w:multiLevelType w:val="hybridMultilevel"/>
    <w:tmpl w:val="88804212"/>
    <w:lvl w:ilvl="0" w:tplc="F704047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0"/>
        <w:szCs w:val="20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E3F6A"/>
    <w:multiLevelType w:val="hybridMultilevel"/>
    <w:tmpl w:val="0476656A"/>
    <w:lvl w:ilvl="0" w:tplc="241A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82"/>
    <w:rsid w:val="00053B3F"/>
    <w:rsid w:val="001B3887"/>
    <w:rsid w:val="003008A2"/>
    <w:rsid w:val="0060445A"/>
    <w:rsid w:val="0072632C"/>
    <w:rsid w:val="007E0FC6"/>
    <w:rsid w:val="008A6E3A"/>
    <w:rsid w:val="00A165A8"/>
    <w:rsid w:val="00A73823"/>
    <w:rsid w:val="00A92382"/>
    <w:rsid w:val="00AB4276"/>
    <w:rsid w:val="00C83B23"/>
    <w:rsid w:val="00E31191"/>
    <w:rsid w:val="00E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887"/>
  </w:style>
  <w:style w:type="paragraph" w:styleId="Footer">
    <w:name w:val="footer"/>
    <w:basedOn w:val="Normal"/>
    <w:link w:val="FooterChar"/>
    <w:uiPriority w:val="99"/>
    <w:semiHidden/>
    <w:unhideWhenUsed/>
    <w:rsid w:val="001B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887"/>
  </w:style>
  <w:style w:type="paragraph" w:styleId="Footer">
    <w:name w:val="footer"/>
    <w:basedOn w:val="Normal"/>
    <w:link w:val="FooterChar"/>
    <w:uiPriority w:val="99"/>
    <w:semiHidden/>
    <w:unhideWhenUsed/>
    <w:rsid w:val="001B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Biblioteka</cp:lastModifiedBy>
  <cp:revision>2</cp:revision>
  <dcterms:created xsi:type="dcterms:W3CDTF">2020-10-06T08:56:00Z</dcterms:created>
  <dcterms:modified xsi:type="dcterms:W3CDTF">2020-10-06T08:56:00Z</dcterms:modified>
</cp:coreProperties>
</file>