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Đulići uveoci – analiza dela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Zbirka pesama „Đulići uveoci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je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puna tuge.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Pesnika je snašla velika tragedija i on je čitavu zbirku posvetio izgubljenoj porodici.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životu ga je snašla velika nesreća, deca su mu umirala, nizao se grob do groba, a među njima i njegova žena, voljena Ruža Ličanin.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Jovan Jovanović Zmaj ovom zbirkom pravi spomen i tako čuva sećanje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njih.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Zbirka pesma se nadovezuje na zbirku „Đulići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samo prema ljudima koje u pesmama opisuje, po svemu ostalom one su suprotne. Dok je u prvoj slavio ljubav, u drugoj zbirci njegovi đulići su uveli,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više one radosti života, oni nisu više vedri i poletni kao što su bili, sada su uveli i nestaju sa ovoga sveta.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Druga zbirka je gorka i dublja.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Tema zbirke je prolaznost života, bol zbog gubitka bliskih ljudi i nemogućnost da se utiče kako bi se takve stavri promenile.</w:t>
      </w:r>
      <w:proofErr w:type="gramEnd"/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U zbirci se nalazi 69 pesama.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svim pesmama dominiraju dva osećanja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 su bol i tuga zbog gubitka svojih najmilijih. U čitavoj ubirci nalazimo snažna pesnikova osećanja, duboku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bol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Ta osećanja ostaće u njemu zauvek, trajna su i večno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postojati. Poeziju koja se nalazi u zbirci možemo nazvati metafozičkom poezijom jer je smrt osnovno osećanje u njoj i povezujemo ga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onostranim svetom.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U uvodnoj pesmi stihovi su obavijeni tugom koju pesnik oseća zbog gubitka svojih najmilijih: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„Sve što dalje vreme hiti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Style w:val="mw-poem-indented"/>
          <w:rFonts w:ascii="Arial" w:hAnsi="Arial" w:cs="Arial"/>
          <w:color w:val="666666"/>
          <w:sz w:val="30"/>
          <w:szCs w:val="30"/>
        </w:rPr>
        <w:t>Sve se većma prošlost grli,</w:t>
      </w:r>
      <w:r>
        <w:rPr>
          <w:rFonts w:ascii="Arial" w:hAnsi="Arial" w:cs="Arial"/>
          <w:color w:val="666666"/>
          <w:sz w:val="30"/>
          <w:szCs w:val="30"/>
        </w:rPr>
        <w:br/>
        <w:t>Sve se većma moji mrtvi</w:t>
      </w:r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Style w:val="mw-poem-indented"/>
          <w:rFonts w:ascii="Arial" w:hAnsi="Arial" w:cs="Arial"/>
          <w:color w:val="666666"/>
          <w:sz w:val="30"/>
          <w:szCs w:val="30"/>
        </w:rPr>
        <w:t>Meni čine neumrli.</w:t>
      </w:r>
      <w:r>
        <w:rPr>
          <w:rFonts w:ascii="Arial" w:hAnsi="Arial" w:cs="Arial"/>
          <w:color w:val="666666"/>
          <w:sz w:val="30"/>
          <w:szCs w:val="30"/>
        </w:rPr>
        <w:t>“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U ovoj pesmi se govori o vremenu i njegovom proticanju, o tome kako je sve prolazno.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Svoju ličnu tugu Zmaj prikazuje kao tugu svakog čoveka, čovekovu tugu uopšte.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Pesnik oseća sreću i ljubav dok se seća prošlosti, kada su svi bili tu, uz njega.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Oni se pesniku čine još živi,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ih sve teže razlikuje. Njihove duše i lica se slivaju u jedno, u opšteljudsku bol i pesnik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kraju govori da i ako tamo gde su oni nema ničeg, oni kada budu zajedno biće srećni i biće jedno: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„Kroz smrt samo valja proći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Style w:val="mw-poem-indented"/>
          <w:rFonts w:ascii="Arial" w:hAnsi="Arial" w:cs="Arial"/>
          <w:color w:val="666666"/>
          <w:sz w:val="30"/>
          <w:szCs w:val="30"/>
        </w:rPr>
        <w:t>Pa ću s’ i ja s njima sliti,</w:t>
      </w:r>
      <w:r>
        <w:rPr>
          <w:rFonts w:ascii="Arial" w:hAnsi="Arial" w:cs="Arial"/>
          <w:color w:val="666666"/>
          <w:sz w:val="30"/>
          <w:szCs w:val="30"/>
        </w:rPr>
        <w:br/>
      </w:r>
      <w:r>
        <w:rPr>
          <w:rFonts w:ascii="Arial" w:hAnsi="Arial" w:cs="Arial"/>
          <w:color w:val="666666"/>
          <w:sz w:val="30"/>
          <w:szCs w:val="30"/>
        </w:rPr>
        <w:lastRenderedPageBreak/>
        <w:t>Ako l’ tamo nema ništa?!</w:t>
      </w:r>
      <w:r>
        <w:rPr>
          <w:rFonts w:ascii="Arial" w:hAnsi="Arial" w:cs="Arial"/>
          <w:color w:val="666666"/>
          <w:sz w:val="30"/>
          <w:szCs w:val="30"/>
        </w:rPr>
        <w:br/>
        <w:t>–</w:t>
      </w:r>
      <w:r>
        <w:rPr>
          <w:rStyle w:val="mw-poem-indented"/>
          <w:rFonts w:ascii="Arial" w:hAnsi="Arial" w:cs="Arial"/>
          <w:color w:val="666666"/>
          <w:sz w:val="30"/>
          <w:szCs w:val="30"/>
        </w:rPr>
        <w:t>I tad ćemo jedno biti</w:t>
      </w:r>
      <w:proofErr w:type="gramStart"/>
      <w:r>
        <w:rPr>
          <w:rStyle w:val="mw-poem-indented"/>
          <w:rFonts w:ascii="Arial" w:hAnsi="Arial" w:cs="Arial"/>
          <w:color w:val="666666"/>
          <w:sz w:val="30"/>
          <w:szCs w:val="30"/>
        </w:rPr>
        <w:t>.“</w:t>
      </w:r>
      <w:proofErr w:type="gramEnd"/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Naročito je emotivna pesma iz zbirke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stihovima: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„Pođem, klecnem, idem, zastajavam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Šetalicu satu zadržavam,</w:t>
      </w:r>
      <w:r>
        <w:rPr>
          <w:rFonts w:ascii="Arial" w:hAnsi="Arial" w:cs="Arial"/>
          <w:color w:val="666666"/>
          <w:sz w:val="30"/>
          <w:szCs w:val="30"/>
        </w:rPr>
        <w:br/>
        <w:t>Jurim, bežim, ka’ očajnik kleti,</w:t>
      </w:r>
      <w:r>
        <w:rPr>
          <w:rFonts w:ascii="Arial" w:hAnsi="Arial" w:cs="Arial"/>
          <w:color w:val="666666"/>
          <w:sz w:val="30"/>
          <w:szCs w:val="30"/>
        </w:rPr>
        <w:br/>
        <w:t>Zborim reči, reči bez pameti:</w:t>
      </w:r>
      <w:r>
        <w:rPr>
          <w:rFonts w:ascii="Arial" w:hAnsi="Arial" w:cs="Arial"/>
          <w:color w:val="666666"/>
          <w:sz w:val="30"/>
          <w:szCs w:val="30"/>
        </w:rPr>
        <w:br/>
        <w:t>„Ne, ne sme umreti!“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U njima se posebno ističe nesposobnost i nemogućnost čoveka pred onostranim, pred smrću.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Posebno se emotivno prikazuje deo kada lirski subjekat stoji pored kolevke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detetom, dok mu žena teško bolesna leži u postelji i bori se za život.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Čovek usmerava svu svoju moć i snagu kako bi prevazišao smrt koja im se približila.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Lirski subjekat se moli Bogu, traži pravdu, moli anđele, zemlju i samu medicinu.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Želi da zaustavi vreme, tako što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zadržati šetalicu na satu. Čak i kada bi zaustavio sat i zadržao kazaljku, neminovno je da vreme ne bi stalo i da bi smrt svaako došla.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ovom stihu je prikazana sva besmislenost čovekova u pokušajima da savlada i odgurne smrt.</w:t>
      </w:r>
      <w:proofErr w:type="gramEnd"/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„Vičem Bogu: Ona je još mlada!</w:t>
      </w:r>
      <w:r>
        <w:rPr>
          <w:rFonts w:ascii="Arial" w:hAnsi="Arial" w:cs="Arial"/>
          <w:color w:val="666666"/>
          <w:sz w:val="30"/>
          <w:szCs w:val="30"/>
        </w:rPr>
        <w:br/>
        <w:t>Vičem pravdi: Ona se još nada!</w:t>
      </w:r>
      <w:r>
        <w:rPr>
          <w:rFonts w:ascii="Arial" w:hAnsi="Arial" w:cs="Arial"/>
          <w:color w:val="666666"/>
          <w:sz w:val="30"/>
          <w:szCs w:val="30"/>
        </w:rPr>
        <w:br/>
        <w:t xml:space="preserve">Anđelima: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Vi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joj srca znate!</w:t>
      </w:r>
      <w:r>
        <w:rPr>
          <w:rFonts w:ascii="Arial" w:hAnsi="Arial" w:cs="Arial"/>
          <w:color w:val="666666"/>
          <w:sz w:val="30"/>
          <w:szCs w:val="30"/>
        </w:rPr>
        <w:br/>
        <w:t xml:space="preserve">Vičem zemlji: Ona nije za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>!</w:t>
      </w:r>
      <w:r>
        <w:rPr>
          <w:rFonts w:ascii="Arial" w:hAnsi="Arial" w:cs="Arial"/>
          <w:color w:val="666666"/>
          <w:sz w:val="30"/>
          <w:szCs w:val="30"/>
        </w:rPr>
        <w:br/>
        <w:t xml:space="preserve">Ni otuda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mi odjeka…</w:t>
      </w:r>
      <w:r>
        <w:rPr>
          <w:rFonts w:ascii="Arial" w:hAnsi="Arial" w:cs="Arial"/>
          <w:color w:val="666666"/>
          <w:sz w:val="30"/>
          <w:szCs w:val="30"/>
        </w:rPr>
        <w:br/>
        <w:t>Vičem sebi: Zar joj nemaš leka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?…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Idem, stanem, ka’ očajnik kleti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Opet zborim reči bez pameti:</w:t>
      </w:r>
      <w:r>
        <w:rPr>
          <w:rFonts w:ascii="Arial" w:hAnsi="Arial" w:cs="Arial"/>
          <w:color w:val="666666"/>
          <w:sz w:val="30"/>
          <w:szCs w:val="30"/>
        </w:rPr>
        <w:br/>
        <w:t>„Ne sme nam umreti!“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Kao što se sreća u „Đulićima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prenosi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 čitav svet tako se i u „Đulićima uveocima“ prenosi tuga na sličan način. To spajanje pesnikovih raspoloženja i osećanja sa spoljašnjim svetom inspirisalo ga je na napiše neke od najlepših stihova u zbirci: „Moje nebo…“, „Mrtvo nebo, mrtva zemlja…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druge. Ove pesme, kao što nam 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sami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naslovi nagoveštavaju, govore o smrti, o ništavilu, nepostojanju, o tome kako je sve uzaludno i sve će jednom umreti. Lirski subjekat je ostao sam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svetu i on više ne pronalazi lepotu ni u čemu, sve čari ovoga sveta ua njega su nestale.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Toliko su ga bol i tuga slomili da on živi samo zato što postoji.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Više ne oseća ništa,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suze ne može pustiti. Čak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poezija koja je bila njegova jedina uteha i spas, sada vene i postaje mrtva, nema nekadašnju lepotu i veselost.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Stih „Bolna ležiš, a nas vara nada, ozdraviće, ozdraviće mlada…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iskazuje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nam da je pesnik svestan da ikao se nada da će preživeti i ozdraviti, sve je to omama i smrt je neizbežna. On stoji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odorom svoje drage i kao suprotnost postavlja proleće koje je simbol rađanja i prirode koja se budi. Tu se lirski subjekat seća šetnji i srećnih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dana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Pominje svoju otadžbinu kao jedinu sreću koja mu je ostala u životu.</w:t>
      </w:r>
      <w:proofErr w:type="gramEnd"/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„Daljina mesta, njive i poljane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;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levo Dunav, Banat, Bačka mila,</w:t>
      </w:r>
      <w:r>
        <w:rPr>
          <w:rFonts w:ascii="Arial" w:hAnsi="Arial" w:cs="Arial"/>
          <w:color w:val="666666"/>
          <w:sz w:val="30"/>
          <w:szCs w:val="30"/>
        </w:rPr>
        <w:br/>
        <w:t>Avala se desno zaplavila,</w:t>
      </w:r>
      <w:r>
        <w:rPr>
          <w:rFonts w:ascii="Arial" w:hAnsi="Arial" w:cs="Arial"/>
          <w:color w:val="666666"/>
          <w:sz w:val="30"/>
          <w:szCs w:val="30"/>
        </w:rPr>
        <w:br/>
        <w:t>A podalje ti brežuljci sivi,</w:t>
      </w:r>
      <w:r>
        <w:rPr>
          <w:rFonts w:ascii="Arial" w:hAnsi="Arial" w:cs="Arial"/>
          <w:color w:val="666666"/>
          <w:sz w:val="30"/>
          <w:szCs w:val="30"/>
        </w:rPr>
        <w:br/>
        <w:t>To je Bosna – i tu Srbin živi…“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Svi dragi su mu umrli i u penikovoj duši su bol, jadi i ponor.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Čak se i sunce, kada bi zavirilo u taj bezdan, prestrašlo bi se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užasa. Čitav svet je posato veliki za njega „…u užasno velikom svetu…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on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sam i svaki dan mu je prazan „…sunce diže, zađe – to se zove dan…“. Da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tog izlaska i zalaska sunca, za njega bi dan i noć bili isto, ništa ga ne može ispuniti. „Sve se tiša, sve se širi, – svet je kanda sad još širi…“ Nekada se radost života nalazila u njegovom srcu, a sda sve to izaziva osećaj otuđenosti i usamljenosti,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tu radost sa kim podeliti, te ona za njega i ne predstavlja pravu, istinsku radost.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Pesma „Mrtvo nevo, mrtva zemlja…“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(VIII), donosi nam osećaj da je za pesnika sve umrlo, iako je priroda živa, i zemlja i ljudi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njoj, njemu to ništa ne znači. Pored čitave zemlje pesnik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ljudima ne vidi život „…mrtvo oko, mrtvo srce…“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Ponavljajući epitet mrtvo pesnik nas uvodi u neprekidno nizanje udaraca sudbine.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Stih „…izumrlo što je moglo, samo boli još ne mogu…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okreću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nam ugao gledanja. Sada nam pesnik govori kako je jedina stvar koja u njemu postoji i koja nikada neće nestati njegova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bol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Iz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boli se rađaju sve pesme iz ove zbirke.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Kao motiv pesnik nam ovde ubacuje samu pesmu koju je pisao u prošlosti.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tim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pesmama iz prošlih dana nalazi se sva njegova sreća, ljubav „…u njojzi je moja sreća, ljubav moja opevana…“ Kako ona u njemu ne bi probudila još veća osećanja patnje i boli, on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hartije na kojima je pisana, ali se i pesma dalje bori: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„…hartija je izgorela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al ostala slova bela,</w:t>
      </w:r>
      <w:r>
        <w:rPr>
          <w:rFonts w:ascii="Arial" w:hAnsi="Arial" w:cs="Arial"/>
          <w:color w:val="666666"/>
          <w:sz w:val="30"/>
          <w:szCs w:val="30"/>
        </w:rPr>
        <w:br/>
        <w:t>pema moja nečitana –</w:t>
      </w:r>
      <w:r>
        <w:rPr>
          <w:rFonts w:ascii="Arial" w:hAnsi="Arial" w:cs="Arial"/>
          <w:color w:val="666666"/>
          <w:sz w:val="30"/>
          <w:szCs w:val="30"/>
        </w:rPr>
        <w:br/>
        <w:t>još se vidi sa pepela…“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Dve pesme XX „Šta je tuga koja dođe…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XXVII „Tada bogme svaka rana…“ opevaju neizmernu pesnikovu tugu i ona je glavni motiv.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Tuga koju oseća ga u isti mah obara i drži u životu.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Jeda ga lomi, a druga u njemu budi inspiraciju i tera ga da stvara.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Lirski subjekat i tuga se vole: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„…moje lane nije smrtno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  <w:t>za rastankom preti,</w:t>
      </w:r>
      <w:r>
        <w:rPr>
          <w:rFonts w:ascii="Arial" w:hAnsi="Arial" w:cs="Arial"/>
          <w:color w:val="666666"/>
          <w:sz w:val="30"/>
          <w:szCs w:val="30"/>
        </w:rPr>
        <w:br/>
        <w:t>moja draga, moja tuga,</w:t>
      </w:r>
      <w:r>
        <w:rPr>
          <w:rFonts w:ascii="Arial" w:hAnsi="Arial" w:cs="Arial"/>
          <w:color w:val="666666"/>
          <w:sz w:val="30"/>
          <w:szCs w:val="30"/>
        </w:rPr>
        <w:br/>
        <w:t>ne može umreti…“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Pesnik tugu ovde naziva lanetom i govori kako mu je samo ona ostala, ona ga nikada neće napustiti.</w:t>
      </w:r>
      <w:proofErr w:type="gramEnd"/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U poznijim pesmama zbirke „Đulići uveoci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bol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pesnika prerasta u pomirenje sa sudbinom. Pošto je ne može pobediti, njegova poslednja borba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tugom je ta što će je iskoristiti da bi stvorio sve ove stihove. To su pesma: „Otkide se misao“, „Krila i okrilja vremena“, „Jesen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“ 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druge. Pesnik kroz pesmu ostvaruje kontakt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onima koji su umrli, počinje i da ih sanja i potpuno će se izjednačiti sa njima u smrti.</w:t>
      </w:r>
    </w:p>
    <w:p w:rsidR="002144E7" w:rsidRDefault="002144E7" w:rsidP="002144E7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Lirski subjekat plete venac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tužnog cveća kojim će obuhvatiti sve one koji su umrli.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To cveće su zapravo njegove pesme, pune tuge i bola, a venac predstavlja čitava zbirka „Đulići uveoci“.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Osnovnom motivu tuge i bola dodaju se motivi otadžbine i pesme.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Zmaj, koji je slomljen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tuge i bola, pronalazi još jedan motiv koji nikako ne može zaboraviti, a to je još jedna velika ljubav, njegova domovina. Pesma je pesnikov način da prikaže svoju neizmernu tugu, on ih vidi kao sponu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njima koji viđe nisu tu. Pesme postoje kao večiti spomen koji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svedočiti o veličini njegove boli i čitaće ga mnoga pokolenja.</w:t>
      </w:r>
    </w:p>
    <w:p w:rsidR="00121AF3" w:rsidRPr="003D66B4" w:rsidRDefault="004F3502" w:rsidP="0049376E">
      <w:pPr>
        <w:pStyle w:val="normal0"/>
        <w:jc w:val="both"/>
        <w:rPr>
          <w:sz w:val="28"/>
          <w:szCs w:val="28"/>
          <w:lang w:val="en-US"/>
        </w:rPr>
      </w:pPr>
      <w:r>
        <w:rPr>
          <w:rFonts w:ascii="Helvetica" w:hAnsi="Helvetica" w:cs="Helvetica"/>
          <w:i/>
          <w:iCs/>
          <w:color w:val="212121"/>
          <w:sz w:val="27"/>
          <w:szCs w:val="27"/>
          <w:shd w:val="clear" w:color="auto" w:fill="E5E5E5"/>
        </w:rPr>
        <w:t>anskrtskom jeziku reč pesnik znači onaj koji vidi i čini da mi vidimo”.</w:t>
      </w:r>
    </w:p>
    <w:sectPr w:rsidR="00121AF3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34" w:rsidRDefault="00002534" w:rsidP="00F14FEA">
      <w:r>
        <w:separator/>
      </w:r>
    </w:p>
  </w:endnote>
  <w:endnote w:type="continuationSeparator" w:id="0">
    <w:p w:rsidR="00002534" w:rsidRDefault="00002534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34" w:rsidRDefault="00002534" w:rsidP="00F14FEA">
      <w:r>
        <w:separator/>
      </w:r>
    </w:p>
  </w:footnote>
  <w:footnote w:type="continuationSeparator" w:id="0">
    <w:p w:rsidR="00002534" w:rsidRDefault="00002534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2534"/>
    <w:rsid w:val="00003511"/>
    <w:rsid w:val="000105BF"/>
    <w:rsid w:val="0003554B"/>
    <w:rsid w:val="000455DF"/>
    <w:rsid w:val="00052F45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144E7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4F3502"/>
    <w:rsid w:val="00500817"/>
    <w:rsid w:val="00503305"/>
    <w:rsid w:val="005065DD"/>
    <w:rsid w:val="00513DCA"/>
    <w:rsid w:val="0055118E"/>
    <w:rsid w:val="0055551D"/>
    <w:rsid w:val="00562B9F"/>
    <w:rsid w:val="00611430"/>
    <w:rsid w:val="006649B2"/>
    <w:rsid w:val="0066557A"/>
    <w:rsid w:val="00692C18"/>
    <w:rsid w:val="00695BC7"/>
    <w:rsid w:val="006E34E1"/>
    <w:rsid w:val="006E3A6A"/>
    <w:rsid w:val="006F5A58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56FA2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0D6F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44E7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2144E7"/>
    <w:rPr>
      <w:b/>
      <w:bCs/>
    </w:rPr>
  </w:style>
  <w:style w:type="character" w:customStyle="1" w:styleId="mw-poem-indented">
    <w:name w:val="mw-poem-indented"/>
    <w:basedOn w:val="DefaultParagraphFont"/>
    <w:rsid w:val="00214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EC59-9CCA-4F10-88B3-29C3EE29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2020-12-15T19:21:00Z</dcterms:created>
  <dcterms:modified xsi:type="dcterms:W3CDTF">2020-12-15T19:21:00Z</dcterms:modified>
</cp:coreProperties>
</file>